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b/>
          <w:sz w:val="28"/>
        </w:rPr>
      </w:pPr>
      <w:bookmarkStart w:id="0" w:name="_Toc11969"/>
      <w:r>
        <w:rPr>
          <w:rFonts w:hint="eastAsia" w:asciiTheme="minorEastAsia" w:hAnsiTheme="minorEastAsia" w:eastAsiaTheme="minorEastAsia"/>
          <w:b/>
          <w:sz w:val="28"/>
        </w:rPr>
        <w:t xml:space="preserve"> 采购需求</w:t>
      </w:r>
      <w:bookmarkEnd w:id="0"/>
    </w:p>
    <w:p>
      <w:pPr>
        <w:spacing w:line="360" w:lineRule="auto"/>
        <w:jc w:val="center"/>
        <w:outlineLvl w:val="0"/>
        <w:rPr>
          <w:rFonts w:hint="eastAsia" w:asciiTheme="minorEastAsia" w:hAnsiTheme="minorEastAsia" w:eastAsiaTheme="minorEastAsia"/>
          <w:b/>
          <w:i/>
          <w:iCs/>
          <w:sz w:val="28"/>
          <w:lang w:eastAsia="zh-CN"/>
        </w:rPr>
      </w:pPr>
      <w:bookmarkStart w:id="1" w:name="_GoBack"/>
      <w:r>
        <w:rPr>
          <w:rFonts w:hint="eastAsia" w:asciiTheme="minorEastAsia" w:hAnsiTheme="minorEastAsia" w:eastAsiaTheme="minorEastAsia"/>
          <w:b/>
          <w:i/>
          <w:iCs/>
          <w:sz w:val="28"/>
          <w:lang w:eastAsia="zh-CN"/>
        </w:rPr>
        <w:t>（</w:t>
      </w:r>
      <w:r>
        <w:rPr>
          <w:rFonts w:hint="eastAsia" w:asciiTheme="minorEastAsia" w:hAnsiTheme="minorEastAsia" w:eastAsiaTheme="minorEastAsia"/>
          <w:b/>
          <w:i/>
          <w:iCs/>
          <w:sz w:val="28"/>
          <w:lang w:val="en-US" w:eastAsia="zh-CN"/>
        </w:rPr>
        <w:t>仅供参考，以询价通知书为准</w:t>
      </w:r>
      <w:r>
        <w:rPr>
          <w:rFonts w:hint="eastAsia" w:asciiTheme="minorEastAsia" w:hAnsiTheme="minorEastAsia" w:eastAsiaTheme="minorEastAsia"/>
          <w:b/>
          <w:i/>
          <w:iCs/>
          <w:sz w:val="28"/>
          <w:lang w:eastAsia="zh-CN"/>
        </w:rPr>
        <w:t>）</w:t>
      </w:r>
    </w:p>
    <w:bookmarkEnd w:id="1"/>
    <w:p>
      <w:pPr>
        <w:spacing w:line="360" w:lineRule="auto"/>
        <w:ind w:firstLine="435"/>
        <w:rPr>
          <w:rFonts w:asciiTheme="minorEastAsia" w:hAnsiTheme="minorEastAsia" w:eastAsiaTheme="minorEastAsia"/>
          <w:sz w:val="24"/>
          <w:szCs w:val="18"/>
        </w:rPr>
      </w:pPr>
    </w:p>
    <w:p>
      <w:pPr>
        <w:spacing w:line="360" w:lineRule="auto"/>
        <w:ind w:firstLine="437"/>
        <w:outlineLvl w:val="1"/>
        <w:rPr>
          <w:rFonts w:asciiTheme="minorEastAsia" w:hAnsiTheme="minorEastAsia" w:eastAsiaTheme="minorEastAsia"/>
          <w:b/>
          <w:sz w:val="24"/>
          <w:szCs w:val="18"/>
        </w:rPr>
      </w:pPr>
      <w:r>
        <w:rPr>
          <w:rFonts w:hint="eastAsia" w:asciiTheme="minorEastAsia" w:hAnsiTheme="minorEastAsia" w:eastAsiaTheme="minorEastAsia"/>
          <w:b/>
          <w:sz w:val="24"/>
          <w:szCs w:val="18"/>
        </w:rPr>
        <w:t>一、采购需求前附表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kern w:val="2"/>
              </w:rPr>
            </w:pPr>
            <w:r>
              <w:rPr>
                <w:rFonts w:hint="eastAsia" w:asciiTheme="minorEastAsia" w:hAnsiTheme="minorEastAsia" w:eastAsiaTheme="minorEastAsia"/>
                <w:b/>
                <w:kern w:val="2"/>
              </w:rPr>
              <w:t>序号</w:t>
            </w:r>
          </w:p>
        </w:tc>
        <w:tc>
          <w:tcPr>
            <w:tcW w:w="1192" w:type="pct"/>
            <w:vAlign w:val="center"/>
          </w:tcPr>
          <w:p>
            <w:pPr>
              <w:pStyle w:val="8"/>
              <w:widowControl w:val="0"/>
              <w:spacing w:before="0" w:beforeAutospacing="0" w:after="0" w:afterAutospacing="0" w:line="360" w:lineRule="auto"/>
              <w:rPr>
                <w:rFonts w:asciiTheme="minorEastAsia" w:hAnsiTheme="minorEastAsia" w:eastAsiaTheme="minorEastAsia"/>
                <w:bCs w:val="0"/>
                <w:sz w:val="24"/>
              </w:rPr>
            </w:pPr>
            <w:r>
              <w:rPr>
                <w:rFonts w:hint="eastAsia" w:asciiTheme="minorEastAsia" w:hAnsiTheme="minorEastAsia" w:eastAsiaTheme="minorEastAsia"/>
                <w:bCs w:val="0"/>
                <w:sz w:val="24"/>
              </w:rPr>
              <w:t>条款名称</w:t>
            </w:r>
          </w:p>
        </w:tc>
        <w:tc>
          <w:tcPr>
            <w:tcW w:w="3216" w:type="pct"/>
            <w:vAlign w:val="center"/>
          </w:tcPr>
          <w:p>
            <w:pPr>
              <w:pStyle w:val="8"/>
              <w:widowControl w:val="0"/>
              <w:spacing w:before="0" w:beforeAutospacing="0" w:after="0" w:afterAutospacing="0" w:line="360" w:lineRule="auto"/>
              <w:rPr>
                <w:rFonts w:asciiTheme="minorEastAsia" w:hAnsiTheme="minorEastAsia" w:eastAsiaTheme="minorEastAsia"/>
                <w:bCs w:val="0"/>
                <w:sz w:val="24"/>
              </w:rPr>
            </w:pPr>
            <w:r>
              <w:rPr>
                <w:rFonts w:hint="eastAsia" w:asciiTheme="minorEastAsia" w:hAnsiTheme="minorEastAsia" w:eastAsiaTheme="minorEastAsia"/>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w:t>
            </w:r>
          </w:p>
        </w:tc>
        <w:tc>
          <w:tcPr>
            <w:tcW w:w="1192" w:type="pct"/>
            <w:vAlign w:val="center"/>
          </w:tcPr>
          <w:p>
            <w:pPr>
              <w:pStyle w:val="8"/>
              <w:widowControl w:val="0"/>
              <w:spacing w:before="0" w:beforeAutospacing="0" w:after="0" w:afterAutospacing="0" w:line="360" w:lineRule="auto"/>
              <w:rPr>
                <w:rFonts w:asciiTheme="minorEastAsia" w:hAnsiTheme="minorEastAsia" w:eastAsiaTheme="minorEastAsia"/>
                <w:b w:val="0"/>
                <w:sz w:val="24"/>
              </w:rPr>
            </w:pPr>
            <w:r>
              <w:rPr>
                <w:rFonts w:hint="eastAsia" w:asciiTheme="minorEastAsia" w:hAnsiTheme="minorEastAsia" w:eastAsiaTheme="minorEastAsia"/>
                <w:b w:val="0"/>
                <w:sz w:val="24"/>
              </w:rPr>
              <w:t>付款方式</w:t>
            </w:r>
          </w:p>
        </w:tc>
        <w:tc>
          <w:tcPr>
            <w:tcW w:w="3216" w:type="pct"/>
            <w:vAlign w:val="center"/>
          </w:tcPr>
          <w:p>
            <w:pPr>
              <w:pStyle w:val="8"/>
              <w:widowControl w:val="0"/>
              <w:spacing w:before="0" w:beforeAutospacing="0" w:after="0" w:afterAutospacing="0" w:line="360" w:lineRule="auto"/>
              <w:jc w:val="both"/>
              <w:rPr>
                <w:rFonts w:asciiTheme="minorEastAsia" w:hAnsiTheme="minorEastAsia" w:eastAsiaTheme="minorEastAsia"/>
                <w:b w:val="0"/>
                <w:sz w:val="24"/>
                <w:u w:val="single"/>
              </w:rPr>
            </w:pPr>
            <w:r>
              <w:rPr>
                <w:rFonts w:hint="eastAsia" w:asciiTheme="minorEastAsia" w:hAnsiTheme="minorEastAsia" w:eastAsiaTheme="minorEastAsia"/>
                <w:b w:val="0"/>
                <w:sz w:val="24"/>
                <w:u w:val="single"/>
              </w:rPr>
              <w:t xml:space="preserve">项目完成并验收后支付至合同价100%。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2</w:t>
            </w:r>
          </w:p>
        </w:tc>
        <w:tc>
          <w:tcPr>
            <w:tcW w:w="1192" w:type="pct"/>
            <w:vAlign w:val="center"/>
          </w:tcPr>
          <w:p>
            <w:pPr>
              <w:pStyle w:val="8"/>
              <w:widowControl w:val="0"/>
              <w:spacing w:before="0" w:beforeAutospacing="0" w:after="0" w:afterAutospacing="0" w:line="360" w:lineRule="auto"/>
              <w:rPr>
                <w:rFonts w:asciiTheme="minorEastAsia" w:hAnsiTheme="minorEastAsia" w:eastAsiaTheme="minorEastAsia"/>
                <w:b w:val="0"/>
                <w:sz w:val="24"/>
              </w:rPr>
            </w:pPr>
            <w:r>
              <w:rPr>
                <w:rFonts w:hint="eastAsia" w:asciiTheme="minorEastAsia" w:hAnsiTheme="minorEastAsia" w:eastAsiaTheme="minorEastAsia"/>
                <w:b w:val="0"/>
                <w:sz w:val="24"/>
              </w:rPr>
              <w:t>供货及安装地点</w:t>
            </w:r>
          </w:p>
        </w:tc>
        <w:tc>
          <w:tcPr>
            <w:tcW w:w="3216" w:type="pct"/>
            <w:vAlign w:val="center"/>
          </w:tcPr>
          <w:p>
            <w:pPr>
              <w:pStyle w:val="8"/>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u w:val="single"/>
              </w:rPr>
              <w:t xml:space="preserve"> </w:t>
            </w:r>
            <w:r>
              <w:rPr>
                <w:rFonts w:hint="eastAsia" w:asciiTheme="minorEastAsia" w:hAnsiTheme="minorEastAsia" w:eastAsiaTheme="minorEastAsia"/>
                <w:b w:val="0"/>
                <w:sz w:val="24"/>
                <w:u w:val="single"/>
                <w:lang w:val="en-US" w:eastAsia="zh-CN"/>
              </w:rPr>
              <w:t>巢湖学院，采购人指定地点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w:t>
            </w:r>
          </w:p>
        </w:tc>
        <w:tc>
          <w:tcPr>
            <w:tcW w:w="1192" w:type="pct"/>
            <w:vAlign w:val="center"/>
          </w:tcPr>
          <w:p>
            <w:pPr>
              <w:pStyle w:val="8"/>
              <w:widowControl w:val="0"/>
              <w:spacing w:before="0" w:beforeAutospacing="0" w:after="0" w:afterAutospacing="0" w:line="360" w:lineRule="auto"/>
              <w:rPr>
                <w:rFonts w:asciiTheme="minorEastAsia" w:hAnsiTheme="minorEastAsia" w:eastAsiaTheme="minorEastAsia"/>
                <w:b w:val="0"/>
                <w:sz w:val="24"/>
              </w:rPr>
            </w:pPr>
            <w:r>
              <w:rPr>
                <w:rFonts w:hint="eastAsia" w:asciiTheme="minorEastAsia" w:hAnsiTheme="minorEastAsia" w:eastAsiaTheme="minorEastAsia"/>
                <w:b w:val="0"/>
                <w:sz w:val="24"/>
              </w:rPr>
              <w:t>供货及安装期限</w:t>
            </w:r>
          </w:p>
        </w:tc>
        <w:tc>
          <w:tcPr>
            <w:tcW w:w="3216" w:type="pct"/>
            <w:vAlign w:val="center"/>
          </w:tcPr>
          <w:p>
            <w:pPr>
              <w:pStyle w:val="8"/>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合同生效后</w:t>
            </w:r>
            <w:r>
              <w:rPr>
                <w:rFonts w:hint="eastAsia" w:asciiTheme="minorEastAsia" w:hAnsiTheme="minorEastAsia" w:eastAsiaTheme="minorEastAsia"/>
                <w:b w:val="0"/>
                <w:sz w:val="24"/>
                <w:u w:val="single"/>
                <w:lang w:val="en-US" w:eastAsia="zh-CN"/>
              </w:rPr>
              <w:t xml:space="preserve"> 接采购人通知后30日完成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4</w:t>
            </w:r>
          </w:p>
        </w:tc>
        <w:tc>
          <w:tcPr>
            <w:tcW w:w="1192" w:type="pct"/>
            <w:vAlign w:val="center"/>
          </w:tcPr>
          <w:p>
            <w:pPr>
              <w:pStyle w:val="8"/>
              <w:widowControl w:val="0"/>
              <w:spacing w:before="0" w:beforeAutospacing="0" w:after="0" w:afterAutospacing="0" w:line="360" w:lineRule="auto"/>
              <w:rPr>
                <w:rFonts w:asciiTheme="minorEastAsia" w:hAnsiTheme="minorEastAsia" w:eastAsiaTheme="minorEastAsia"/>
                <w:b w:val="0"/>
                <w:sz w:val="24"/>
              </w:rPr>
            </w:pPr>
            <w:r>
              <w:rPr>
                <w:rFonts w:hint="eastAsia" w:asciiTheme="minorEastAsia" w:hAnsiTheme="minorEastAsia" w:eastAsiaTheme="minorEastAsia"/>
                <w:b w:val="0"/>
                <w:sz w:val="24"/>
              </w:rPr>
              <w:t>免费质保期</w:t>
            </w:r>
          </w:p>
        </w:tc>
        <w:tc>
          <w:tcPr>
            <w:tcW w:w="3216" w:type="pct"/>
            <w:vAlign w:val="center"/>
          </w:tcPr>
          <w:p>
            <w:pPr>
              <w:pStyle w:val="8"/>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验收合格之日起</w:t>
            </w:r>
            <w:r>
              <w:rPr>
                <w:rFonts w:hint="eastAsia" w:asciiTheme="minorEastAsia" w:hAnsiTheme="minorEastAsia" w:eastAsiaTheme="minorEastAsia"/>
                <w:b w:val="0"/>
                <w:sz w:val="24"/>
                <w:u w:val="single"/>
              </w:rPr>
              <w:t xml:space="preserve"> </w:t>
            </w:r>
            <w:r>
              <w:rPr>
                <w:rFonts w:hint="eastAsia" w:asciiTheme="minorEastAsia" w:hAnsiTheme="minorEastAsia" w:eastAsiaTheme="minorEastAsia"/>
                <w:b w:val="0"/>
                <w:sz w:val="24"/>
                <w:u w:val="single"/>
                <w:lang w:val="en-US" w:eastAsia="zh-CN"/>
              </w:rPr>
              <w:t>1年</w:t>
            </w:r>
          </w:p>
        </w:tc>
      </w:tr>
    </w:tbl>
    <w:p>
      <w:pPr>
        <w:numPr>
          <w:ilvl w:val="0"/>
          <w:numId w:val="1"/>
        </w:numPr>
        <w:spacing w:line="360" w:lineRule="auto"/>
        <w:ind w:firstLine="437"/>
        <w:outlineLvl w:val="1"/>
        <w:rPr>
          <w:rFonts w:hint="eastAsia" w:asciiTheme="minorEastAsia" w:hAnsiTheme="minorEastAsia" w:eastAsiaTheme="minorEastAsia"/>
          <w:b/>
          <w:bCs/>
          <w:sz w:val="24"/>
          <w:szCs w:val="18"/>
        </w:rPr>
      </w:pPr>
      <w:r>
        <w:rPr>
          <w:rFonts w:hint="eastAsia" w:asciiTheme="minorEastAsia" w:hAnsiTheme="minorEastAsia" w:eastAsiaTheme="minorEastAsia"/>
          <w:b/>
          <w:bCs/>
          <w:sz w:val="24"/>
          <w:szCs w:val="18"/>
        </w:rPr>
        <w:t>货物需求</w:t>
      </w:r>
    </w:p>
    <w:p>
      <w:pPr>
        <w:pStyle w:val="2"/>
        <w:widowControl w:val="0"/>
        <w:numPr>
          <w:ilvl w:val="0"/>
          <w:numId w:val="2"/>
        </w:numPr>
        <w:spacing w:line="52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pPr>
        <w:pStyle w:val="2"/>
        <w:widowControl w:val="0"/>
        <w:numPr>
          <w:ilvl w:val="0"/>
          <w:numId w:val="0"/>
        </w:numPr>
        <w:spacing w:line="5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巢湖学院2024年东泵房水泵等设备采购项目，主要内容有： 1、在原东泵房内增加一套二次变频供水加压机组系统及进出水管道连接。水源引自原蓄水池供水管道（在蓄水池与泵房中间的管道上），主管道直径200mm,三条分支管道直径100mm,二次变频供水加压机组系统主水泵两台，辅泵一台，含全套整体泵座基础，不锈钢管路泵100mm口径,总管200mm配置法兰球阀,不锈钢对夹止回阀、隔膜罐、整体碳钢底座等相应配套全部组件及安装施工。2、三台水泵配套三台联动变频控制柜，含水泵与控制系统之间的电缆等安装施工。满足现场实际使用要求。</w:t>
      </w:r>
    </w:p>
    <w:p>
      <w:pPr>
        <w:numPr>
          <w:ilvl w:val="0"/>
          <w:numId w:val="2"/>
        </w:numPr>
        <w:spacing w:line="360" w:lineRule="auto"/>
        <w:ind w:left="0" w:leftChars="0"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货物需求表：</w:t>
      </w:r>
    </w:p>
    <w:p>
      <w:pPr>
        <w:numPr>
          <w:ilvl w:val="0"/>
          <w:numId w:val="0"/>
        </w:numPr>
        <w:spacing w:line="360" w:lineRule="auto"/>
        <w:outlineLvl w:val="1"/>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货物需求表中</w:t>
      </w:r>
      <w:r>
        <w:rPr>
          <w:rFonts w:hint="eastAsia" w:asciiTheme="minorEastAsia" w:hAnsiTheme="minorEastAsia" w:eastAsiaTheme="minorEastAsia"/>
          <w:b/>
          <w:bCs/>
          <w:sz w:val="24"/>
          <w:szCs w:val="28"/>
        </w:rPr>
        <w:t>货物技术参数及要求</w:t>
      </w:r>
      <w:r>
        <w:rPr>
          <w:rFonts w:hint="eastAsia" w:ascii="宋体" w:hAnsi="宋体" w:eastAsia="宋体" w:cs="宋体"/>
          <w:b/>
          <w:bCs/>
          <w:kern w:val="2"/>
          <w:sz w:val="24"/>
          <w:szCs w:val="24"/>
          <w:lang w:val="en-US" w:eastAsia="zh-CN" w:bidi="ar-SA"/>
        </w:rPr>
        <w:t>须全部满足，否则响应无效。</w:t>
      </w:r>
    </w:p>
    <w:tbl>
      <w:tblPr>
        <w:tblStyle w:val="5"/>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717"/>
        <w:gridCol w:w="4153"/>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16" w:type="pct"/>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457" w:type="pct"/>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678" w:type="pct"/>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立式循环增压泵</w:t>
            </w:r>
          </w:p>
        </w:tc>
        <w:tc>
          <w:tcPr>
            <w:tcW w:w="2457" w:type="pct"/>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Q=130m3/h  H=52m  N=30kW</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叶轮304</w:t>
            </w:r>
            <w:r>
              <w:rPr>
                <w:rFonts w:hint="eastAsia" w:ascii="宋体" w:hAnsi="宋体" w:eastAsia="宋体" w:cs="宋体"/>
                <w:sz w:val="24"/>
                <w:szCs w:val="24"/>
                <w:lang w:eastAsia="zh-CN"/>
              </w:rPr>
              <w:t>，</w:t>
            </w:r>
            <w:r>
              <w:rPr>
                <w:rFonts w:hint="eastAsia" w:ascii="宋体" w:hAnsi="宋体" w:eastAsia="宋体" w:cs="宋体"/>
                <w:sz w:val="24"/>
                <w:szCs w:val="24"/>
              </w:rPr>
              <w:t>不锈钢</w:t>
            </w:r>
          </w:p>
        </w:tc>
        <w:tc>
          <w:tcPr>
            <w:tcW w:w="678" w:type="pct"/>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立式循环增压泵</w:t>
            </w:r>
          </w:p>
        </w:tc>
        <w:tc>
          <w:tcPr>
            <w:tcW w:w="2457" w:type="pct"/>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Q=50m3/h  H=70m</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N=18.5kW</w:t>
            </w:r>
            <w:r>
              <w:rPr>
                <w:rFonts w:hint="eastAsia" w:ascii="宋体" w:hAnsi="宋体" w:eastAsia="宋体" w:cs="宋体"/>
                <w:sz w:val="24"/>
                <w:szCs w:val="24"/>
                <w:lang w:val="en-US" w:eastAsia="zh-CN"/>
              </w:rPr>
              <w:t>2.</w:t>
            </w:r>
          </w:p>
          <w:p>
            <w:pPr>
              <w:spacing w:line="360" w:lineRule="auto"/>
              <w:jc w:val="left"/>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叶轮304</w:t>
            </w:r>
            <w:r>
              <w:rPr>
                <w:rFonts w:hint="eastAsia" w:ascii="宋体" w:hAnsi="宋体" w:eastAsia="宋体" w:cs="宋体"/>
                <w:sz w:val="24"/>
                <w:szCs w:val="24"/>
                <w:lang w:eastAsia="zh-CN"/>
              </w:rPr>
              <w:t>，</w:t>
            </w:r>
            <w:r>
              <w:rPr>
                <w:rFonts w:hint="eastAsia" w:ascii="宋体" w:hAnsi="宋体" w:eastAsia="宋体" w:cs="宋体"/>
                <w:sz w:val="24"/>
                <w:szCs w:val="24"/>
              </w:rPr>
              <w:t>不锈钢</w:t>
            </w:r>
          </w:p>
        </w:tc>
        <w:tc>
          <w:tcPr>
            <w:tcW w:w="678"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管道及基础及配套附件</w:t>
            </w:r>
          </w:p>
        </w:tc>
        <w:tc>
          <w:tcPr>
            <w:tcW w:w="2457" w:type="pct"/>
            <w:vAlign w:val="center"/>
          </w:tcPr>
          <w:p>
            <w:pPr>
              <w:spacing w:line="360" w:lineRule="auto"/>
              <w:jc w:val="left"/>
              <w:rPr>
                <w:rFonts w:hint="eastAsia" w:ascii="宋体" w:hAnsi="宋体" w:eastAsia="宋体" w:cs="宋体"/>
                <w:bCs/>
                <w:sz w:val="24"/>
                <w:szCs w:val="24"/>
                <w:lang w:eastAsia="zh-CN"/>
              </w:rPr>
            </w:pPr>
            <w:r>
              <w:rPr>
                <w:rFonts w:hint="eastAsia" w:ascii="宋体" w:hAnsi="宋体" w:eastAsia="宋体" w:cs="宋体"/>
                <w:sz w:val="24"/>
                <w:szCs w:val="24"/>
              </w:rPr>
              <w:t>不锈钢管路-3泵100口径总管200及配套配件</w:t>
            </w:r>
            <w:r>
              <w:rPr>
                <w:rFonts w:hint="eastAsia" w:ascii="宋体" w:hAnsi="宋体" w:eastAsia="宋体" w:cs="宋体"/>
                <w:sz w:val="24"/>
                <w:szCs w:val="24"/>
                <w:lang w:eastAsia="zh-CN"/>
              </w:rPr>
              <w:t>（法兰球阀、不锈钢对夹止回阀、碳钢底座、稳压罐等配套）</w:t>
            </w:r>
          </w:p>
        </w:tc>
        <w:tc>
          <w:tcPr>
            <w:tcW w:w="678" w:type="pct"/>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变频控制柜</w:t>
            </w:r>
          </w:p>
        </w:tc>
        <w:tc>
          <w:tcPr>
            <w:tcW w:w="2457" w:type="pct"/>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30千瓦</w:t>
            </w:r>
          </w:p>
          <w:p>
            <w:pPr>
              <w:spacing w:line="360" w:lineRule="auto"/>
              <w:jc w:val="left"/>
              <w:rPr>
                <w:rFonts w:hint="eastAsia" w:ascii="宋体" w:hAnsi="宋体" w:eastAsia="宋体" w:cs="宋体"/>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三机联动</w:t>
            </w:r>
            <w:r>
              <w:rPr>
                <w:rFonts w:hint="eastAsia" w:ascii="宋体" w:hAnsi="宋体" w:eastAsia="宋体" w:cs="宋体"/>
                <w:sz w:val="24"/>
                <w:szCs w:val="24"/>
                <w:lang w:eastAsia="zh-CN"/>
              </w:rPr>
              <w:t>，</w:t>
            </w:r>
            <w:r>
              <w:rPr>
                <w:rFonts w:hint="eastAsia" w:ascii="宋体" w:hAnsi="宋体" w:eastAsia="宋体" w:cs="宋体"/>
                <w:sz w:val="24"/>
                <w:szCs w:val="24"/>
              </w:rPr>
              <w:t>远程控制</w:t>
            </w:r>
          </w:p>
        </w:tc>
        <w:tc>
          <w:tcPr>
            <w:tcW w:w="678"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变频控制柜</w:t>
            </w:r>
          </w:p>
        </w:tc>
        <w:tc>
          <w:tcPr>
            <w:tcW w:w="2457" w:type="pct"/>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18.5千瓦</w:t>
            </w:r>
          </w:p>
          <w:p>
            <w:pPr>
              <w:spacing w:line="360" w:lineRule="auto"/>
              <w:jc w:val="left"/>
              <w:rPr>
                <w:rFonts w:hint="eastAsia" w:ascii="宋体" w:hAnsi="宋体" w:eastAsia="宋体" w:cs="宋体"/>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三机联动</w:t>
            </w:r>
            <w:r>
              <w:rPr>
                <w:rFonts w:hint="eastAsia" w:ascii="宋体" w:hAnsi="宋体" w:eastAsia="宋体" w:cs="宋体"/>
                <w:sz w:val="24"/>
                <w:szCs w:val="24"/>
                <w:lang w:eastAsia="zh-CN"/>
              </w:rPr>
              <w:t>，</w:t>
            </w:r>
            <w:r>
              <w:rPr>
                <w:rFonts w:hint="eastAsia" w:ascii="宋体" w:hAnsi="宋体" w:eastAsia="宋体" w:cs="宋体"/>
                <w:sz w:val="24"/>
                <w:szCs w:val="24"/>
              </w:rPr>
              <w:t>远程控制</w:t>
            </w:r>
          </w:p>
        </w:tc>
        <w:tc>
          <w:tcPr>
            <w:tcW w:w="678"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电缆国标</w:t>
            </w:r>
          </w:p>
        </w:tc>
        <w:tc>
          <w:tcPr>
            <w:tcW w:w="2457" w:type="pct"/>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YC3X16平方</w:t>
            </w:r>
          </w:p>
        </w:tc>
        <w:tc>
          <w:tcPr>
            <w:tcW w:w="678" w:type="pct"/>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sz w:val="24"/>
                <w:szCs w:val="24"/>
              </w:rPr>
              <w:t>100</w:t>
            </w:r>
            <w:r>
              <w:rPr>
                <w:rFonts w:hint="eastAsia" w:ascii="宋体" w:hAnsi="宋体" w:eastAsia="宋体" w:cs="宋体"/>
                <w:sz w:val="24"/>
                <w:szCs w:val="24"/>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016" w:type="pct"/>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闸阀</w:t>
            </w:r>
          </w:p>
        </w:tc>
        <w:tc>
          <w:tcPr>
            <w:tcW w:w="2457" w:type="pct"/>
            <w:vAlign w:val="center"/>
          </w:tcPr>
          <w:p>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DN100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1.6MPa</w:t>
            </w:r>
          </w:p>
        </w:tc>
        <w:tc>
          <w:tcPr>
            <w:tcW w:w="678" w:type="pct"/>
            <w:vAlign w:val="center"/>
          </w:tcPr>
          <w:p>
            <w:pPr>
              <w:spacing w:line="360" w:lineRule="auto"/>
              <w:jc w:val="center"/>
              <w:rPr>
                <w:rFonts w:hint="eastAsia" w:ascii="宋体" w:hAnsi="宋体" w:eastAsia="宋体" w:cs="宋体"/>
                <w:bCs/>
                <w:sz w:val="24"/>
                <w:szCs w:val="24"/>
                <w:lang w:val="en-US"/>
              </w:rPr>
            </w:pPr>
            <w:r>
              <w:rPr>
                <w:rFonts w:hint="eastAsia" w:ascii="宋体" w:hAnsi="宋体" w:eastAsia="宋体" w:cs="宋体"/>
                <w:sz w:val="24"/>
                <w:szCs w:val="24"/>
                <w:highlight w:val="none"/>
                <w:lang w:val="en-US" w:eastAsia="zh-CN"/>
              </w:rPr>
              <w:t>9只</w:t>
            </w:r>
          </w:p>
        </w:tc>
      </w:tr>
    </w:tbl>
    <w:p>
      <w:pPr>
        <w:keepNext w:val="0"/>
        <w:keepLines w:val="0"/>
        <w:pageBreakBefore w:val="0"/>
        <w:kinsoku/>
        <w:wordWrap w:val="0"/>
        <w:overflowPunct/>
        <w:topLinePunct w:val="0"/>
        <w:bidi w:val="0"/>
        <w:spacing w:line="360" w:lineRule="auto"/>
        <w:ind w:firstLine="480" w:firstLineChars="200"/>
        <w:textAlignment w:val="auto"/>
        <w:rPr>
          <w:rFonts w:hint="eastAsia" w:ascii="宋体" w:hAnsi="宋体" w:eastAsia="宋体"/>
          <w:bCs/>
          <w:color w:val="auto"/>
          <w:sz w:val="24"/>
          <w:szCs w:val="18"/>
        </w:rPr>
      </w:pPr>
      <w:r>
        <w:rPr>
          <w:rFonts w:hint="eastAsia" w:ascii="宋体" w:hAnsi="宋体" w:eastAsia="宋体"/>
          <w:bCs/>
          <w:color w:val="auto"/>
          <w:sz w:val="24"/>
          <w:szCs w:val="18"/>
          <w:lang w:val="en-US" w:eastAsia="zh-CN"/>
        </w:rPr>
        <w:t>注：</w:t>
      </w:r>
      <w:r>
        <w:rPr>
          <w:rFonts w:hint="eastAsia" w:ascii="宋体" w:hAnsi="宋体" w:eastAsia="宋体"/>
          <w:bCs/>
          <w:color w:val="auto"/>
          <w:sz w:val="24"/>
          <w:szCs w:val="18"/>
        </w:rPr>
        <w:t>采购需求清单中规格型号及数量仅供参考，</w:t>
      </w:r>
      <w:r>
        <w:rPr>
          <w:rFonts w:hint="eastAsia" w:ascii="宋体" w:hAnsi="宋体" w:eastAsia="宋体"/>
          <w:bCs/>
          <w:color w:val="auto"/>
          <w:sz w:val="24"/>
          <w:szCs w:val="18"/>
          <w:lang w:val="en-US" w:eastAsia="zh-CN"/>
        </w:rPr>
        <w:t>供应商</w:t>
      </w:r>
      <w:r>
        <w:rPr>
          <w:rFonts w:hint="eastAsia" w:ascii="宋体" w:hAnsi="宋体" w:eastAsia="宋体"/>
          <w:bCs/>
          <w:color w:val="auto"/>
          <w:sz w:val="24"/>
          <w:szCs w:val="18"/>
        </w:rPr>
        <w:t>应现场踏勘，作出自己的判断结论和报价, 以满足现场实际使用要求为准。</w:t>
      </w:r>
      <w:r>
        <w:rPr>
          <w:rFonts w:hint="eastAsia" w:ascii="宋体" w:hAnsi="宋体" w:eastAsia="宋体"/>
          <w:bCs/>
          <w:color w:val="auto"/>
          <w:sz w:val="24"/>
          <w:szCs w:val="18"/>
          <w:lang w:eastAsia="zh-CN"/>
        </w:rPr>
        <w:t>本项目包含</w:t>
      </w:r>
      <w:r>
        <w:rPr>
          <w:rFonts w:hint="eastAsia" w:ascii="宋体" w:hAnsi="宋体" w:eastAsia="宋体"/>
          <w:bCs/>
          <w:color w:val="auto"/>
          <w:sz w:val="24"/>
          <w:szCs w:val="18"/>
        </w:rPr>
        <w:t>完成项目的全部费用，确保水泵</w:t>
      </w:r>
      <w:r>
        <w:rPr>
          <w:rFonts w:hint="eastAsia" w:ascii="宋体" w:hAnsi="宋体" w:eastAsia="宋体"/>
          <w:bCs/>
          <w:color w:val="auto"/>
          <w:sz w:val="24"/>
          <w:szCs w:val="18"/>
          <w:lang w:eastAsia="zh-CN"/>
        </w:rPr>
        <w:t>房</w:t>
      </w:r>
      <w:r>
        <w:rPr>
          <w:rFonts w:hint="eastAsia" w:ascii="宋体" w:hAnsi="宋体" w:eastAsia="宋体"/>
          <w:bCs/>
          <w:color w:val="auto"/>
          <w:sz w:val="24"/>
          <w:szCs w:val="18"/>
        </w:rPr>
        <w:t>正常运行，现场如不考察导致配件等如有漏项或缺项，</w:t>
      </w:r>
      <w:r>
        <w:rPr>
          <w:rFonts w:hint="eastAsia" w:ascii="宋体" w:hAnsi="宋体" w:eastAsia="宋体"/>
          <w:bCs/>
          <w:color w:val="auto"/>
          <w:sz w:val="24"/>
          <w:szCs w:val="18"/>
          <w:lang w:val="en-US" w:eastAsia="zh-CN"/>
        </w:rPr>
        <w:t>供应商</w:t>
      </w:r>
      <w:r>
        <w:rPr>
          <w:rFonts w:hint="eastAsia" w:ascii="宋体" w:hAnsi="宋体" w:eastAsia="宋体"/>
          <w:bCs/>
          <w:color w:val="auto"/>
          <w:sz w:val="24"/>
          <w:szCs w:val="18"/>
        </w:rPr>
        <w:t>承担全部责任。</w:t>
      </w:r>
      <w:r>
        <w:rPr>
          <w:rFonts w:hint="eastAsia" w:ascii="宋体" w:hAnsi="宋体" w:eastAsia="宋体"/>
          <w:bCs/>
          <w:color w:val="auto"/>
          <w:sz w:val="24"/>
          <w:szCs w:val="18"/>
          <w:lang w:val="en-US" w:eastAsia="zh-CN"/>
        </w:rPr>
        <w:t>成交</w:t>
      </w:r>
      <w:r>
        <w:rPr>
          <w:rFonts w:hint="eastAsia" w:ascii="宋体" w:hAnsi="宋体" w:eastAsia="宋体"/>
          <w:bCs/>
          <w:color w:val="auto"/>
          <w:sz w:val="24"/>
          <w:szCs w:val="18"/>
        </w:rPr>
        <w:t>后，在签订合同时和安装过程中，</w:t>
      </w:r>
      <w:r>
        <w:rPr>
          <w:rFonts w:hint="eastAsia" w:ascii="宋体" w:hAnsi="宋体" w:eastAsia="宋体"/>
          <w:bCs/>
          <w:color w:val="auto"/>
          <w:sz w:val="24"/>
          <w:szCs w:val="18"/>
          <w:lang w:val="en-US" w:eastAsia="zh-CN"/>
        </w:rPr>
        <w:t>成交供应商</w:t>
      </w:r>
      <w:r>
        <w:rPr>
          <w:rFonts w:hint="eastAsia" w:ascii="宋体" w:hAnsi="宋体" w:eastAsia="宋体"/>
          <w:bCs/>
          <w:color w:val="auto"/>
          <w:sz w:val="24"/>
          <w:szCs w:val="18"/>
        </w:rPr>
        <w:t>不得以不完全了解现场情况为由，提出任何形式的增加经费或索赔要求。</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三、报价要求</w:t>
      </w:r>
    </w:p>
    <w:p>
      <w:pPr>
        <w:spacing w:line="360" w:lineRule="auto"/>
        <w:ind w:firstLine="482" w:firstLineChars="200"/>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本项目报总价，报价包含供货、安装施工等完成本项目的所有费用。投标报价不得超过项目概算16万元，否则响应无效。</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四、其他要求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二次变频供水加压机组系统的出水管道要与东泵房外主管道连接，管道直径200mm法兰连接。</w:t>
      </w:r>
      <w:r>
        <w:rPr>
          <w:rFonts w:hint="eastAsia" w:ascii="宋体" w:hAnsi="宋体" w:eastAsia="宋体" w:cs="宋体"/>
          <w:bCs/>
          <w:sz w:val="24"/>
          <w:szCs w:val="24"/>
          <w:lang w:eastAsia="zh-CN"/>
        </w:rPr>
        <w:t>成交供应商</w:t>
      </w:r>
      <w:r>
        <w:rPr>
          <w:rFonts w:hint="eastAsia" w:ascii="宋体" w:hAnsi="宋体" w:eastAsia="宋体" w:cs="宋体"/>
          <w:bCs/>
          <w:sz w:val="24"/>
          <w:szCs w:val="24"/>
          <w:lang w:val="en-US" w:eastAsia="zh-CN"/>
        </w:rPr>
        <w:t>提供</w:t>
      </w:r>
      <w:r>
        <w:rPr>
          <w:rFonts w:hint="eastAsia" w:ascii="宋体" w:hAnsi="宋体" w:eastAsia="宋体" w:cs="宋体"/>
          <w:bCs/>
          <w:sz w:val="24"/>
          <w:szCs w:val="24"/>
        </w:rPr>
        <w:t>的水泵、变频控制柜、管道等设备需与东泵房外部现有DN200的管道对接，满足</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实际供水需求功能。如</w:t>
      </w:r>
      <w:r>
        <w:rPr>
          <w:rFonts w:hint="eastAsia" w:ascii="宋体" w:hAnsi="宋体" w:eastAsia="宋体" w:cs="宋体"/>
          <w:bCs/>
          <w:sz w:val="24"/>
          <w:szCs w:val="24"/>
          <w:lang w:eastAsia="zh-CN"/>
        </w:rPr>
        <w:t>成交供应商</w:t>
      </w:r>
      <w:r>
        <w:rPr>
          <w:rFonts w:hint="eastAsia" w:ascii="宋体" w:hAnsi="宋体" w:eastAsia="宋体" w:cs="宋体"/>
          <w:bCs/>
          <w:sz w:val="24"/>
          <w:szCs w:val="24"/>
          <w:lang w:val="en-US" w:eastAsia="zh-CN"/>
        </w:rPr>
        <w:t>提供</w:t>
      </w:r>
      <w:r>
        <w:rPr>
          <w:rFonts w:hint="eastAsia" w:ascii="宋体" w:hAnsi="宋体" w:eastAsia="宋体" w:cs="宋体"/>
          <w:bCs/>
          <w:sz w:val="24"/>
          <w:szCs w:val="24"/>
        </w:rPr>
        <w:t>的设备不能与现有的东泵房外部管道对接实现</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实际供水需求功能，</w:t>
      </w:r>
      <w:r>
        <w:rPr>
          <w:rFonts w:hint="eastAsia" w:ascii="宋体" w:hAnsi="宋体" w:eastAsia="宋体" w:cs="宋体"/>
          <w:bCs/>
          <w:sz w:val="24"/>
          <w:szCs w:val="24"/>
          <w:lang w:val="en-US" w:eastAsia="zh-CN"/>
        </w:rPr>
        <w:t>采购人有权解除合同，</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承担由此带来的一切损失。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20950"/>
    <w:multiLevelType w:val="singleLevel"/>
    <w:tmpl w:val="36C20950"/>
    <w:lvl w:ilvl="0" w:tentative="0">
      <w:start w:val="1"/>
      <w:numFmt w:val="decimal"/>
      <w:lvlText w:val="%1."/>
      <w:lvlJc w:val="left"/>
      <w:pPr>
        <w:tabs>
          <w:tab w:val="left" w:pos="312"/>
        </w:tabs>
      </w:pPr>
    </w:lvl>
  </w:abstractNum>
  <w:abstractNum w:abstractNumId="1">
    <w:nsid w:val="7D6A0C89"/>
    <w:multiLevelType w:val="singleLevel"/>
    <w:tmpl w:val="7D6A0C8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TUyOTUwODNhNWJlZDc3NjUzZGVlMDZhYzNhYWEifQ=="/>
  </w:docVars>
  <w:rsids>
    <w:rsidRoot w:val="48D223C2"/>
    <w:rsid w:val="485943C2"/>
    <w:rsid w:val="48D22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line="520" w:lineRule="exact"/>
      <w:ind w:firstLine="480" w:firstLineChars="200"/>
    </w:pPr>
    <w:rPr>
      <w:rFonts w:eastAsia="仿宋_GB2312"/>
      <w:sz w:val="24"/>
    </w:rPr>
  </w:style>
  <w:style w:type="paragraph" w:styleId="3">
    <w:name w:val="envelope return"/>
    <w:basedOn w:val="1"/>
    <w:qFormat/>
    <w:uiPriority w:val="0"/>
    <w:pPr>
      <w:snapToGrid w:val="0"/>
      <w:spacing w:line="360" w:lineRule="auto"/>
    </w:pPr>
    <w:rPr>
      <w:rFonts w:ascii="Arial" w:hAnsi="Arial" w:cs="Arial"/>
      <w:sz w:val="24"/>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2024-05-30T08:24:00Z</dcterms:created>
  <dc:creator>钱小宇</dc:creator>
  <cp:lastModifiedBy>钱小宇</cp:lastModifiedBy>
  <dcterms:modified xsi:type="dcterms:W3CDTF">2024-05-30T08:25:44Z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6CA6D184AE344829B9D3957AD5DBF802_13</vt:lpwstr>
  </property>
</Properties>
</file>